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60B" w:rsidRPr="0068760B" w:rsidRDefault="0068760B" w:rsidP="0068760B">
      <w:pPr>
        <w:widowControl/>
        <w:adjustRightInd w:val="0"/>
        <w:spacing w:line="1160" w:lineRule="exact"/>
        <w:jc w:val="center"/>
        <w:rPr>
          <w:rFonts w:ascii="宋体" w:eastAsia="宋体" w:hAnsi="宋体" w:cs="宋体"/>
          <w:kern w:val="0"/>
          <w:sz w:val="24"/>
          <w:szCs w:val="24"/>
        </w:rPr>
      </w:pPr>
      <w:r w:rsidRPr="0068760B">
        <w:rPr>
          <w:rFonts w:ascii="Times New Roman" w:eastAsia="长城小标宋体" w:hAnsi="Times New Roman" w:cs="Times New Roman" w:hint="eastAsia"/>
          <w:b/>
          <w:color w:val="FF0000"/>
          <w:spacing w:val="100"/>
          <w:kern w:val="0"/>
          <w:sz w:val="92"/>
          <w:szCs w:val="92"/>
        </w:rPr>
        <w:t>南通大学文件</w:t>
      </w:r>
    </w:p>
    <w:p w:rsidR="0068760B" w:rsidRPr="0068760B" w:rsidRDefault="0068760B" w:rsidP="0068760B">
      <w:pPr>
        <w:widowControl/>
        <w:adjustRightInd w:val="0"/>
        <w:spacing w:line="410" w:lineRule="atLeast"/>
        <w:jc w:val="center"/>
        <w:rPr>
          <w:rFonts w:ascii="宋体" w:eastAsia="宋体" w:hAnsi="宋体" w:cs="宋体"/>
          <w:kern w:val="0"/>
          <w:sz w:val="24"/>
          <w:szCs w:val="24"/>
        </w:rPr>
      </w:pPr>
      <w:r w:rsidRPr="0068760B">
        <w:rPr>
          <w:rFonts w:ascii="仿宋_GB2312" w:eastAsia="仿宋_GB2312" w:hAnsi="宋体" w:cs="方正大标宋简体" w:hint="eastAsia"/>
          <w:color w:val="000000"/>
          <w:spacing w:val="25"/>
          <w:w w:val="96"/>
          <w:kern w:val="0"/>
          <w:sz w:val="32"/>
          <w:szCs w:val="32"/>
        </w:rPr>
        <w:t> </w:t>
      </w:r>
    </w:p>
    <w:p w:rsidR="0068760B" w:rsidRPr="0068760B" w:rsidRDefault="0068760B" w:rsidP="0068760B">
      <w:pPr>
        <w:widowControl/>
        <w:adjustRightInd w:val="0"/>
        <w:spacing w:line="410" w:lineRule="atLeast"/>
        <w:jc w:val="right"/>
        <w:rPr>
          <w:rFonts w:ascii="宋体" w:eastAsia="宋体" w:hAnsi="宋体" w:cs="宋体"/>
          <w:kern w:val="0"/>
          <w:sz w:val="24"/>
          <w:szCs w:val="24"/>
        </w:rPr>
      </w:pPr>
      <w:r w:rsidRPr="0068760B">
        <w:rPr>
          <w:rFonts w:ascii="Times New Roman" w:eastAsia="方正大标宋简体" w:hAnsi="Times New Roman" w:cs="Times New Roman" w:hint="eastAsia"/>
          <w:color w:val="FF0000"/>
          <w:spacing w:val="25"/>
          <w:w w:val="80"/>
          <w:kern w:val="0"/>
          <w:sz w:val="32"/>
          <w:szCs w:val="32"/>
        </w:rPr>
        <w:t> </w:t>
      </w:r>
    </w:p>
    <w:p w:rsidR="0068760B" w:rsidRPr="0068760B" w:rsidRDefault="0068760B" w:rsidP="0068760B">
      <w:pPr>
        <w:widowControl/>
        <w:jc w:val="center"/>
        <w:rPr>
          <w:rFonts w:ascii="宋体" w:eastAsia="宋体" w:hAnsi="宋体" w:cs="宋体"/>
          <w:kern w:val="0"/>
          <w:sz w:val="24"/>
          <w:szCs w:val="24"/>
        </w:rPr>
      </w:pPr>
      <w:bookmarkStart w:id="0" w:name="zhengwen"/>
      <w:r w:rsidRPr="0068760B">
        <w:rPr>
          <w:rFonts w:ascii="宋体" w:eastAsia="宋体" w:hAnsi="宋体" w:cs="宋体" w:hint="eastAsia"/>
          <w:color w:val="000000"/>
          <w:kern w:val="0"/>
          <w:sz w:val="36"/>
          <w:szCs w:val="36"/>
        </w:rPr>
        <w:t> </w:t>
      </w:r>
    </w:p>
    <w:p w:rsidR="0068760B" w:rsidRPr="0068760B" w:rsidRDefault="0068760B" w:rsidP="0068760B">
      <w:pPr>
        <w:widowControl/>
        <w:jc w:val="center"/>
        <w:rPr>
          <w:rFonts w:ascii="宋体" w:eastAsia="宋体" w:hAnsi="宋体" w:cs="宋体"/>
          <w:kern w:val="0"/>
          <w:sz w:val="24"/>
          <w:szCs w:val="24"/>
        </w:rPr>
      </w:pPr>
      <w:r w:rsidRPr="0068760B">
        <w:rPr>
          <w:rFonts w:ascii="仿宋_GB2312" w:eastAsia="仿宋_GB2312" w:hAnsi="黑体" w:cs="宋体" w:hint="eastAsia"/>
          <w:color w:val="000000"/>
          <w:kern w:val="0"/>
          <w:sz w:val="32"/>
          <w:szCs w:val="32"/>
        </w:rPr>
        <w:t>通大〔</w:t>
      </w:r>
      <w:r w:rsidRPr="0068760B">
        <w:rPr>
          <w:rFonts w:ascii="Times New Roman" w:eastAsia="仿宋_GB2312" w:hAnsi="Times New Roman" w:cs="Times New Roman"/>
          <w:color w:val="000000"/>
          <w:kern w:val="0"/>
          <w:sz w:val="32"/>
          <w:szCs w:val="32"/>
        </w:rPr>
        <w:t>2015</w:t>
      </w:r>
      <w:r w:rsidRPr="0068760B">
        <w:rPr>
          <w:rFonts w:ascii="仿宋_GB2312" w:eastAsia="仿宋_GB2312" w:hAnsi="黑体" w:cs="宋体" w:hint="eastAsia"/>
          <w:color w:val="000000"/>
          <w:kern w:val="0"/>
          <w:sz w:val="32"/>
          <w:szCs w:val="32"/>
        </w:rPr>
        <w:t>〕</w:t>
      </w:r>
      <w:r w:rsidRPr="0068760B">
        <w:rPr>
          <w:rFonts w:ascii="Times New Roman" w:eastAsia="仿宋_GB2312" w:hAnsi="Times New Roman" w:cs="Times New Roman"/>
          <w:color w:val="000000"/>
          <w:kern w:val="0"/>
          <w:sz w:val="32"/>
          <w:szCs w:val="32"/>
        </w:rPr>
        <w:t>78</w:t>
      </w:r>
      <w:r w:rsidRPr="0068760B">
        <w:rPr>
          <w:rFonts w:ascii="仿宋_GB2312" w:eastAsia="仿宋_GB2312" w:hAnsi="黑体" w:cs="宋体" w:hint="eastAsia"/>
          <w:color w:val="000000"/>
          <w:kern w:val="0"/>
          <w:sz w:val="32"/>
          <w:szCs w:val="32"/>
        </w:rPr>
        <w:t>号</w:t>
      </w:r>
    </w:p>
    <w:p w:rsidR="0068760B" w:rsidRPr="0068760B" w:rsidRDefault="0068760B" w:rsidP="0068760B">
      <w:pPr>
        <w:widowControl/>
        <w:jc w:val="center"/>
        <w:rPr>
          <w:rFonts w:ascii="宋体" w:eastAsia="宋体" w:hAnsi="宋体" w:cs="宋体"/>
          <w:kern w:val="0"/>
          <w:sz w:val="24"/>
          <w:szCs w:val="24"/>
        </w:rPr>
      </w:pPr>
      <w:r w:rsidRPr="0068760B">
        <w:rPr>
          <w:rFonts w:ascii="宋体" w:eastAsia="宋体" w:hAnsi="宋体" w:cs="宋体" w:hint="eastAsia"/>
          <w:color w:val="000000"/>
          <w:kern w:val="0"/>
          <w:sz w:val="32"/>
          <w:szCs w:val="32"/>
        </w:rPr>
        <w:t> </w:t>
      </w:r>
    </w:p>
    <w:p w:rsidR="0068760B" w:rsidRPr="0068760B" w:rsidRDefault="0068760B" w:rsidP="0068760B">
      <w:pPr>
        <w:widowControl/>
        <w:jc w:val="center"/>
        <w:rPr>
          <w:rFonts w:ascii="宋体" w:eastAsia="宋体" w:hAnsi="宋体" w:cs="宋体"/>
          <w:kern w:val="0"/>
          <w:sz w:val="24"/>
          <w:szCs w:val="24"/>
        </w:rPr>
      </w:pPr>
      <w:r w:rsidRPr="0068760B">
        <w:rPr>
          <w:rFonts w:ascii="宋体" w:eastAsia="宋体" w:hAnsi="宋体" w:cs="宋体" w:hint="eastAsia"/>
          <w:color w:val="000000"/>
          <w:kern w:val="0"/>
          <w:sz w:val="36"/>
          <w:szCs w:val="36"/>
        </w:rPr>
        <w:t>关于印发《南通大学重大成果奖励暂行办法》的通知</w:t>
      </w:r>
    </w:p>
    <w:p w:rsidR="0068760B" w:rsidRPr="0068760B" w:rsidRDefault="0068760B" w:rsidP="0068760B">
      <w:pPr>
        <w:widowControl/>
        <w:jc w:val="left"/>
        <w:rPr>
          <w:rFonts w:ascii="宋体" w:eastAsia="宋体" w:hAnsi="宋体" w:cs="宋体"/>
          <w:kern w:val="0"/>
          <w:sz w:val="24"/>
          <w:szCs w:val="24"/>
        </w:rPr>
      </w:pPr>
      <w:r w:rsidRPr="0068760B">
        <w:rPr>
          <w:rFonts w:ascii="宋体" w:eastAsia="宋体" w:hAnsi="宋体" w:cs="宋体" w:hint="eastAsia"/>
          <w:color w:val="000000"/>
          <w:kern w:val="0"/>
          <w:sz w:val="32"/>
          <w:szCs w:val="32"/>
        </w:rPr>
        <w:t> </w:t>
      </w:r>
    </w:p>
    <w:p w:rsidR="0068760B" w:rsidRPr="0068760B" w:rsidRDefault="0068760B" w:rsidP="0068760B">
      <w:pPr>
        <w:widowControl/>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各学院（系、室、所）、部门、群团组织、直属（附属）单位：</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《南通大学重大成果奖励暂行办法》已经校长办公会讨论通过，现予印发，请遵照执行。</w:t>
      </w:r>
    </w:p>
    <w:p w:rsidR="0068760B" w:rsidRPr="0068760B" w:rsidRDefault="0068760B" w:rsidP="0068760B">
      <w:pPr>
        <w:widowControl/>
        <w:jc w:val="center"/>
        <w:rPr>
          <w:rFonts w:ascii="宋体" w:eastAsia="宋体" w:hAnsi="宋体" w:cs="宋体"/>
          <w:kern w:val="0"/>
          <w:sz w:val="24"/>
          <w:szCs w:val="24"/>
        </w:rPr>
      </w:pPr>
      <w:r w:rsidRPr="0068760B">
        <w:rPr>
          <w:rFonts w:ascii="宋体" w:eastAsia="宋体" w:hAnsi="宋体" w:cs="宋体" w:hint="eastAsia"/>
          <w:color w:val="000000"/>
          <w:kern w:val="0"/>
          <w:sz w:val="36"/>
          <w:szCs w:val="36"/>
        </w:rPr>
        <w:t> </w:t>
      </w:r>
    </w:p>
    <w:p w:rsidR="0068760B" w:rsidRPr="0068760B" w:rsidRDefault="0068760B" w:rsidP="0068760B">
      <w:pPr>
        <w:widowControl/>
        <w:ind w:firstLineChars="1885" w:firstLine="6032"/>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    </w:t>
      </w:r>
      <w:r w:rsidRPr="0068760B">
        <w:rPr>
          <w:rFonts w:ascii="仿宋_GB2312" w:eastAsia="仿宋_GB2312" w:hAnsi="宋体" w:cs="宋体" w:hint="eastAsia"/>
          <w:color w:val="000000"/>
          <w:kern w:val="0"/>
          <w:sz w:val="32"/>
          <w:szCs w:val="32"/>
        </w:rPr>
        <w:t xml:space="preserve"> 南通大学</w:t>
      </w:r>
    </w:p>
    <w:p w:rsidR="0068760B" w:rsidRPr="0068760B" w:rsidRDefault="0068760B" w:rsidP="0068760B">
      <w:pPr>
        <w:widowControl/>
        <w:tabs>
          <w:tab w:val="left" w:pos="7560"/>
        </w:tabs>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 xml:space="preserve">                                  </w:t>
      </w:r>
      <w:r w:rsidRPr="0068760B">
        <w:rPr>
          <w:rFonts w:ascii="Times New Roman" w:eastAsia="仿宋_GB2312" w:hAnsi="Times New Roman" w:cs="Times New Roman"/>
          <w:color w:val="000000"/>
          <w:kern w:val="0"/>
          <w:sz w:val="32"/>
          <w:szCs w:val="32"/>
        </w:rPr>
        <w:t>2015</w:t>
      </w:r>
      <w:r w:rsidRPr="0068760B">
        <w:rPr>
          <w:rFonts w:ascii="仿宋_GB2312" w:eastAsia="仿宋_GB2312" w:hAnsi="宋体" w:cs="宋体" w:hint="eastAsia"/>
          <w:color w:val="000000"/>
          <w:kern w:val="0"/>
          <w:sz w:val="32"/>
          <w:szCs w:val="32"/>
        </w:rPr>
        <w:t>年</w:t>
      </w:r>
      <w:r w:rsidRPr="0068760B">
        <w:rPr>
          <w:rFonts w:ascii="Times New Roman" w:eastAsia="仿宋_GB2312" w:hAnsi="Times New Roman" w:cs="Times New Roman"/>
          <w:color w:val="000000"/>
          <w:kern w:val="0"/>
          <w:sz w:val="32"/>
          <w:szCs w:val="32"/>
        </w:rPr>
        <w:t>11</w:t>
      </w:r>
      <w:r w:rsidRPr="0068760B">
        <w:rPr>
          <w:rFonts w:ascii="仿宋_GB2312" w:eastAsia="仿宋_GB2312" w:hAnsi="宋体" w:cs="宋体" w:hint="eastAsia"/>
          <w:color w:val="000000"/>
          <w:kern w:val="0"/>
          <w:sz w:val="32"/>
          <w:szCs w:val="32"/>
        </w:rPr>
        <w:t>月</w:t>
      </w:r>
      <w:r w:rsidRPr="0068760B">
        <w:rPr>
          <w:rFonts w:ascii="Times New Roman" w:eastAsia="仿宋_GB2312" w:hAnsi="Times New Roman" w:cs="Times New Roman"/>
          <w:color w:val="000000"/>
          <w:kern w:val="0"/>
          <w:sz w:val="32"/>
          <w:szCs w:val="32"/>
        </w:rPr>
        <w:t>6</w:t>
      </w:r>
      <w:r w:rsidRPr="0068760B">
        <w:rPr>
          <w:rFonts w:ascii="仿宋_GB2312" w:eastAsia="仿宋_GB2312" w:hAnsi="宋体" w:cs="宋体" w:hint="eastAsia"/>
          <w:color w:val="000000"/>
          <w:kern w:val="0"/>
          <w:sz w:val="32"/>
          <w:szCs w:val="32"/>
        </w:rPr>
        <w:t>日</w:t>
      </w:r>
    </w:p>
    <w:p w:rsidR="0068760B" w:rsidRPr="0068760B" w:rsidRDefault="0068760B" w:rsidP="0068760B">
      <w:pPr>
        <w:widowControl/>
        <w:tabs>
          <w:tab w:val="left" w:pos="7560"/>
        </w:tabs>
        <w:jc w:val="left"/>
        <w:rPr>
          <w:rFonts w:ascii="宋体" w:eastAsia="宋体" w:hAnsi="宋体" w:cs="宋体"/>
          <w:kern w:val="0"/>
          <w:sz w:val="24"/>
          <w:szCs w:val="24"/>
        </w:rPr>
      </w:pPr>
      <w:r w:rsidRPr="0068760B">
        <w:rPr>
          <w:rFonts w:ascii="仿宋_GB2312" w:eastAsia="仿宋_GB2312" w:hAnsi="宋体" w:cs="宋体" w:hint="eastAsia"/>
          <w:color w:val="000000"/>
          <w:kern w:val="0"/>
          <w:sz w:val="24"/>
          <w:szCs w:val="24"/>
        </w:rPr>
        <w:t> </w:t>
      </w:r>
    </w:p>
    <w:p w:rsidR="0068760B" w:rsidRPr="0068760B" w:rsidRDefault="0068760B" w:rsidP="0068760B">
      <w:pPr>
        <w:widowControl/>
        <w:tabs>
          <w:tab w:val="left" w:pos="7560"/>
        </w:tabs>
        <w:jc w:val="left"/>
        <w:rPr>
          <w:rFonts w:ascii="宋体" w:eastAsia="宋体" w:hAnsi="宋体" w:cs="宋体"/>
          <w:kern w:val="0"/>
          <w:sz w:val="24"/>
          <w:szCs w:val="24"/>
        </w:rPr>
      </w:pPr>
      <w:r w:rsidRPr="0068760B">
        <w:rPr>
          <w:rFonts w:ascii="仿宋_GB2312" w:eastAsia="仿宋_GB2312" w:hAnsi="宋体" w:cs="宋体" w:hint="eastAsia"/>
          <w:color w:val="000000"/>
          <w:kern w:val="0"/>
          <w:sz w:val="24"/>
          <w:szCs w:val="24"/>
        </w:rPr>
        <w:t>  </w:t>
      </w:r>
    </w:p>
    <w:p w:rsidR="0068760B" w:rsidRPr="0068760B" w:rsidRDefault="0068760B" w:rsidP="0068760B">
      <w:pPr>
        <w:widowControl/>
        <w:tabs>
          <w:tab w:val="left" w:pos="7560"/>
        </w:tabs>
        <w:jc w:val="left"/>
        <w:rPr>
          <w:rFonts w:ascii="宋体" w:eastAsia="宋体" w:hAnsi="宋体" w:cs="宋体"/>
          <w:kern w:val="0"/>
          <w:sz w:val="24"/>
          <w:szCs w:val="24"/>
        </w:rPr>
      </w:pPr>
      <w:r w:rsidRPr="0068760B">
        <w:rPr>
          <w:rFonts w:ascii="仿宋_GB2312" w:eastAsia="仿宋_GB2312" w:hAnsi="宋体" w:cs="宋体" w:hint="eastAsia"/>
          <w:color w:val="000000"/>
          <w:kern w:val="0"/>
          <w:sz w:val="24"/>
          <w:szCs w:val="24"/>
        </w:rPr>
        <w:t> </w:t>
      </w:r>
    </w:p>
    <w:p w:rsidR="0068760B" w:rsidRPr="0068760B" w:rsidRDefault="0068760B" w:rsidP="0068760B">
      <w:pPr>
        <w:widowControl/>
        <w:tabs>
          <w:tab w:val="left" w:pos="2310"/>
          <w:tab w:val="left" w:pos="6510"/>
          <w:tab w:val="left" w:pos="7560"/>
          <w:tab w:val="left" w:pos="8505"/>
        </w:tabs>
        <w:jc w:val="left"/>
        <w:rPr>
          <w:rFonts w:ascii="宋体" w:eastAsia="宋体" w:hAnsi="宋体" w:cs="宋体"/>
          <w:kern w:val="0"/>
          <w:sz w:val="24"/>
          <w:szCs w:val="24"/>
        </w:rPr>
      </w:pPr>
      <w:r w:rsidRPr="0068760B">
        <w:rPr>
          <w:rFonts w:ascii="Times New Roman" w:eastAsia="仿宋_GB2312" w:hAnsi="Times New Roman" w:cs="Times New Roman"/>
          <w:color w:val="000000"/>
          <w:kern w:val="0"/>
          <w:sz w:val="24"/>
          <w:szCs w:val="24"/>
        </w:rPr>
        <w:t xml:space="preserve"> </w:t>
      </w:r>
      <w:r w:rsidRPr="0068760B">
        <w:rPr>
          <w:rFonts w:ascii="Times New Roman" w:eastAsia="仿宋_GB2312" w:hAnsi="宋体" w:cs="宋体" w:hint="eastAsia"/>
          <w:color w:val="000000"/>
          <w:kern w:val="0"/>
          <w:sz w:val="28"/>
          <w:szCs w:val="28"/>
        </w:rPr>
        <w:t>南通大学校长办公室</w:t>
      </w:r>
      <w:r w:rsidRPr="0068760B">
        <w:rPr>
          <w:rFonts w:ascii="Times New Roman" w:eastAsia="仿宋_GB2312" w:hAnsi="Times New Roman" w:cs="Times New Roman"/>
          <w:color w:val="000000"/>
          <w:kern w:val="0"/>
          <w:sz w:val="28"/>
          <w:szCs w:val="28"/>
        </w:rPr>
        <w:t xml:space="preserve">                     2015</w:t>
      </w:r>
      <w:r w:rsidRPr="0068760B">
        <w:rPr>
          <w:rFonts w:ascii="Times New Roman" w:eastAsia="仿宋_GB2312" w:hAnsi="宋体" w:cs="宋体" w:hint="eastAsia"/>
          <w:color w:val="000000"/>
          <w:kern w:val="0"/>
          <w:sz w:val="28"/>
          <w:szCs w:val="28"/>
        </w:rPr>
        <w:t>年</w:t>
      </w:r>
      <w:r w:rsidRPr="0068760B">
        <w:rPr>
          <w:rFonts w:ascii="Times New Roman" w:eastAsia="仿宋_GB2312" w:hAnsi="Times New Roman" w:cs="Times New Roman"/>
          <w:color w:val="000000"/>
          <w:kern w:val="0"/>
          <w:sz w:val="28"/>
          <w:szCs w:val="28"/>
        </w:rPr>
        <w:t>11</w:t>
      </w:r>
      <w:r w:rsidRPr="0068760B">
        <w:rPr>
          <w:rFonts w:ascii="Times New Roman" w:eastAsia="仿宋_GB2312" w:hAnsi="宋体" w:cs="宋体" w:hint="eastAsia"/>
          <w:color w:val="000000"/>
          <w:kern w:val="0"/>
          <w:sz w:val="28"/>
          <w:szCs w:val="28"/>
        </w:rPr>
        <w:t>月</w:t>
      </w:r>
      <w:r w:rsidRPr="0068760B">
        <w:rPr>
          <w:rFonts w:ascii="Times New Roman" w:eastAsia="仿宋_GB2312" w:hAnsi="Times New Roman" w:cs="Times New Roman"/>
          <w:color w:val="000000"/>
          <w:kern w:val="0"/>
          <w:sz w:val="28"/>
          <w:szCs w:val="28"/>
        </w:rPr>
        <w:t>11</w:t>
      </w:r>
      <w:r w:rsidRPr="0068760B">
        <w:rPr>
          <w:rFonts w:ascii="Times New Roman" w:eastAsia="仿宋_GB2312" w:hAnsi="宋体" w:cs="宋体" w:hint="eastAsia"/>
          <w:color w:val="000000"/>
          <w:kern w:val="0"/>
          <w:sz w:val="28"/>
          <w:szCs w:val="28"/>
        </w:rPr>
        <w:t>日印发</w:t>
      </w:r>
    </w:p>
    <w:p w:rsidR="0068760B" w:rsidRPr="0068760B" w:rsidRDefault="0068760B" w:rsidP="0068760B">
      <w:pPr>
        <w:widowControl/>
        <w:jc w:val="center"/>
        <w:rPr>
          <w:rFonts w:ascii="宋体" w:eastAsia="宋体" w:hAnsi="宋体" w:cs="宋体"/>
          <w:kern w:val="0"/>
          <w:sz w:val="24"/>
          <w:szCs w:val="24"/>
        </w:rPr>
      </w:pPr>
      <w:r w:rsidRPr="0068760B">
        <w:rPr>
          <w:rFonts w:ascii="宋体" w:eastAsia="宋体" w:hAnsi="宋体" w:cs="宋体" w:hint="eastAsia"/>
          <w:color w:val="000000"/>
          <w:kern w:val="0"/>
          <w:sz w:val="36"/>
          <w:szCs w:val="36"/>
        </w:rPr>
        <w:t> </w:t>
      </w:r>
    </w:p>
    <w:p w:rsidR="0068760B" w:rsidRPr="0068760B" w:rsidRDefault="0068760B" w:rsidP="0068760B">
      <w:pPr>
        <w:widowControl/>
        <w:jc w:val="center"/>
        <w:rPr>
          <w:rFonts w:ascii="宋体" w:eastAsia="宋体" w:hAnsi="宋体" w:cs="宋体"/>
          <w:kern w:val="0"/>
          <w:sz w:val="24"/>
          <w:szCs w:val="24"/>
        </w:rPr>
      </w:pPr>
      <w:r w:rsidRPr="0068760B">
        <w:rPr>
          <w:rFonts w:ascii="宋体" w:eastAsia="宋体" w:hAnsi="宋体" w:cs="宋体" w:hint="eastAsia"/>
          <w:color w:val="000000"/>
          <w:kern w:val="0"/>
          <w:sz w:val="36"/>
          <w:szCs w:val="36"/>
        </w:rPr>
        <w:t>南通大学重大成果奖励暂行办法</w:t>
      </w:r>
    </w:p>
    <w:p w:rsidR="0068760B" w:rsidRPr="0068760B" w:rsidRDefault="0068760B" w:rsidP="0068760B">
      <w:pPr>
        <w:widowControl/>
        <w:ind w:firstLineChars="200" w:firstLine="560"/>
        <w:jc w:val="left"/>
        <w:rPr>
          <w:rFonts w:ascii="宋体" w:eastAsia="宋体" w:hAnsi="宋体" w:cs="宋体"/>
          <w:kern w:val="0"/>
          <w:sz w:val="24"/>
          <w:szCs w:val="24"/>
        </w:rPr>
      </w:pPr>
      <w:r w:rsidRPr="0068760B">
        <w:rPr>
          <w:rFonts w:ascii="Times New Roman" w:eastAsia="仿宋_GB2312" w:hAnsi="Times New Roman" w:cs="Times New Roman"/>
          <w:color w:val="000000"/>
          <w:kern w:val="0"/>
          <w:sz w:val="28"/>
          <w:szCs w:val="28"/>
        </w:rPr>
        <w:t> </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lastRenderedPageBreak/>
        <w:t>为进一步提升学校的核心竞争力，加快实现建设有特色高水平教学研究型大学的发展目标，根据国家和省有关奖励精神，结合我校实际，特制订本暂行办法。</w:t>
      </w:r>
    </w:p>
    <w:p w:rsidR="0068760B" w:rsidRPr="0068760B" w:rsidRDefault="0068760B" w:rsidP="0068760B">
      <w:pPr>
        <w:widowControl/>
        <w:ind w:firstLineChars="200" w:firstLine="640"/>
        <w:jc w:val="left"/>
        <w:outlineLvl w:val="0"/>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一、奖励对象</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在人才培养、科技创新、服务经济社会发展、文化传承和创新等方面，取得具有南通大学知识产权重大成果的校内团队所在的二级单位或在职教职工所在的二级单位。</w:t>
      </w:r>
    </w:p>
    <w:p w:rsidR="0068760B" w:rsidRPr="0068760B" w:rsidRDefault="0068760B" w:rsidP="0068760B">
      <w:pPr>
        <w:widowControl/>
        <w:ind w:firstLineChars="200" w:firstLine="640"/>
        <w:jc w:val="left"/>
        <w:outlineLvl w:val="0"/>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二、奖励类型及标准</w:t>
      </w:r>
    </w:p>
    <w:p w:rsidR="0068760B" w:rsidRPr="0068760B" w:rsidRDefault="0068760B" w:rsidP="0068760B">
      <w:pPr>
        <w:widowControl/>
        <w:tabs>
          <w:tab w:val="left" w:pos="1620"/>
        </w:tabs>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（一）重大成果奖励设教学、科研、学科建设、实验室建设工作新增点奖励，人才工作贡献奖励，教学、科研立项奖励，高水平论文、论著奖励，教学科研成果获奖奖励，社会服务成果奖励等。</w:t>
      </w:r>
    </w:p>
    <w:p w:rsidR="0068760B" w:rsidRPr="0068760B" w:rsidRDefault="0068760B" w:rsidP="0068760B">
      <w:pPr>
        <w:widowControl/>
        <w:tabs>
          <w:tab w:val="left" w:pos="1620"/>
        </w:tabs>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（二）具体奖励项目及奖励标准详见附件。</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三、对于同一成果获得不同类别、不同级别多种奖励的，按就高的原则给予奖励，不重复奖励。</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四、在成果名称发生变化或上级主管部门、行业领域新增成果类型时，学校根据成果的实际档次和价值，对照以上标准给予相应的奖励。</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五、文件中未列入的其他一般成果由二级单位结合自身实际及发展需要，自行制订标准进行奖励；相关成果重要性达到文件中相应成果级别的，由相关职能部门提出，经学校绩效工资实施工作领导小组审核认定后给予奖励。</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lastRenderedPageBreak/>
        <w:t>六、各类成果原则上须以南通大学为第一完成单位；以南通大学为主要完成单位合作申报获得的省部级及以上的教学科研成果奖，排名第二的按50%给予奖励，排名第三的按25%给予奖励，依次递减予以奖励。</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七、如奖励项目发生知识产权纠纷，或发现有违学术道德规范的，学校有权收回授予该奖励项目的荣誉和奖金，并按有关规定处理。</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八、符合本暂行办法规定奖励的重大成果，由各单位报相关职能部门，职能部门审核汇总后报人事处，经学校绩效工资实施工作领导小组审定后，奖励经费由人事处划拨至各相关二级单位，并由二级单位进行二次分配。</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九、本暂行办法自2015年1月1日起施行，原《南通大学教学、科研成果奖励办法（暂行）》废止。</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十、本暂行办法由人事处会同教务处、科技与产业处、人文社科处、服务地方工作处、研究生院、实验室与设备管理处等部门负责解释。</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 </w:t>
      </w:r>
    </w:p>
    <w:p w:rsidR="0068760B" w:rsidRPr="0068760B" w:rsidRDefault="0068760B" w:rsidP="0068760B">
      <w:pPr>
        <w:widowControl/>
        <w:ind w:firstLineChars="200" w:firstLine="640"/>
        <w:jc w:val="left"/>
        <w:rPr>
          <w:rFonts w:ascii="宋体" w:eastAsia="宋体" w:hAnsi="宋体" w:cs="宋体"/>
          <w:kern w:val="0"/>
          <w:sz w:val="24"/>
          <w:szCs w:val="24"/>
        </w:rPr>
      </w:pPr>
      <w:r w:rsidRPr="0068760B">
        <w:rPr>
          <w:rFonts w:ascii="仿宋_GB2312" w:eastAsia="仿宋_GB2312" w:hAnsi="宋体" w:cs="宋体" w:hint="eastAsia"/>
          <w:color w:val="000000"/>
          <w:kern w:val="0"/>
          <w:sz w:val="32"/>
          <w:szCs w:val="32"/>
        </w:rPr>
        <w:t> </w:t>
      </w:r>
    </w:p>
    <w:p w:rsidR="0068760B" w:rsidRPr="0068760B" w:rsidRDefault="0068760B" w:rsidP="0068760B">
      <w:pPr>
        <w:widowControl/>
        <w:jc w:val="left"/>
        <w:rPr>
          <w:rFonts w:ascii="宋体" w:eastAsia="宋体" w:hAnsi="宋体" w:cs="宋体"/>
          <w:kern w:val="0"/>
          <w:sz w:val="24"/>
          <w:szCs w:val="24"/>
        </w:rPr>
      </w:pPr>
      <w:r w:rsidRPr="0068760B">
        <w:rPr>
          <w:rFonts w:ascii="黑体" w:eastAsia="黑体" w:hAnsi="宋体" w:cs="宋体" w:hint="eastAsia"/>
          <w:color w:val="000000"/>
          <w:kern w:val="0"/>
          <w:sz w:val="32"/>
          <w:szCs w:val="32"/>
        </w:rPr>
        <w:t>附件：</w:t>
      </w:r>
    </w:p>
    <w:p w:rsidR="0068760B" w:rsidRPr="0068760B" w:rsidRDefault="0068760B" w:rsidP="0068760B">
      <w:pPr>
        <w:widowControl/>
        <w:jc w:val="center"/>
        <w:rPr>
          <w:rFonts w:ascii="宋体" w:eastAsia="宋体" w:hAnsi="宋体" w:cs="宋体"/>
          <w:kern w:val="0"/>
          <w:sz w:val="24"/>
          <w:szCs w:val="24"/>
        </w:rPr>
      </w:pPr>
      <w:r w:rsidRPr="0068760B">
        <w:rPr>
          <w:rFonts w:ascii="宋体" w:eastAsia="宋体" w:hAnsi="宋体" w:cs="宋体" w:hint="eastAsia"/>
          <w:bCs/>
          <w:color w:val="000000"/>
          <w:kern w:val="0"/>
          <w:sz w:val="36"/>
          <w:szCs w:val="36"/>
        </w:rPr>
        <w:t>南通大学重大成果奖励类型及标准</w:t>
      </w:r>
    </w:p>
    <w:p w:rsidR="0068760B" w:rsidRPr="0068760B" w:rsidRDefault="0068760B" w:rsidP="0068760B">
      <w:pPr>
        <w:widowControl/>
        <w:spacing w:beforeLines="50" w:afterLines="50"/>
        <w:jc w:val="left"/>
        <w:rPr>
          <w:rFonts w:ascii="宋体" w:eastAsia="宋体" w:hAnsi="宋体" w:cs="宋体"/>
          <w:kern w:val="0"/>
          <w:sz w:val="24"/>
          <w:szCs w:val="24"/>
        </w:rPr>
      </w:pPr>
      <w:r w:rsidRPr="0068760B">
        <w:rPr>
          <w:rFonts w:ascii="仿宋_GB2312" w:eastAsia="仿宋_GB2312" w:hAnsi="宋体" w:cs="宋体" w:hint="eastAsia"/>
          <w:b/>
          <w:bCs/>
          <w:color w:val="000000"/>
          <w:kern w:val="0"/>
          <w:sz w:val="32"/>
          <w:szCs w:val="32"/>
        </w:rPr>
        <w:t>一、教学、科研、学科建设、实验室建设工作新增点奖励</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4"/>
        <w:gridCol w:w="1267"/>
      </w:tblGrid>
      <w:tr w:rsidR="0068760B" w:rsidRPr="0068760B">
        <w:trPr>
          <w:trHeight w:val="340"/>
          <w:tblHeader/>
          <w:jc w:val="center"/>
        </w:trPr>
        <w:tc>
          <w:tcPr>
            <w:tcW w:w="7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lastRenderedPageBreak/>
              <w:t>成    果    名    称</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标准（万元）</w:t>
            </w:r>
          </w:p>
        </w:tc>
      </w:tr>
      <w:tr w:rsidR="0068760B" w:rsidRPr="0068760B">
        <w:trPr>
          <w:trHeight w:val="397"/>
          <w:jc w:val="center"/>
        </w:trPr>
        <w:tc>
          <w:tcPr>
            <w:tcW w:w="7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新增一个国家级科研平台（协同创新中心、重点实验室、工程技术中心、重点研究基地等）</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100</w:t>
            </w:r>
          </w:p>
        </w:tc>
      </w:tr>
      <w:tr w:rsidR="0068760B" w:rsidRPr="0068760B">
        <w:trPr>
          <w:trHeight w:val="397"/>
          <w:jc w:val="center"/>
        </w:trPr>
        <w:tc>
          <w:tcPr>
            <w:tcW w:w="7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新增一个国家级教学质量工程类、创新工程类（实验教学示范中心、人才培养模式创新实验区等）、国家级公共服务平台等</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20</w:t>
            </w:r>
          </w:p>
        </w:tc>
      </w:tr>
      <w:tr w:rsidR="0068760B" w:rsidRPr="0068760B">
        <w:trPr>
          <w:trHeight w:val="397"/>
          <w:jc w:val="center"/>
        </w:trPr>
        <w:tc>
          <w:tcPr>
            <w:tcW w:w="7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新增一个省优势学科、省重点学科、省部级科研平台（协同创新中心、重点实验室、工程技术中心、重点研究基地等）</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w:t>
            </w:r>
          </w:p>
        </w:tc>
      </w:tr>
      <w:tr w:rsidR="0068760B" w:rsidRPr="0068760B">
        <w:trPr>
          <w:trHeight w:val="397"/>
          <w:jc w:val="center"/>
        </w:trPr>
        <w:tc>
          <w:tcPr>
            <w:tcW w:w="7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新增一个省级品牌专业</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w:t>
            </w:r>
          </w:p>
        </w:tc>
      </w:tr>
      <w:tr w:rsidR="0068760B" w:rsidRPr="0068760B">
        <w:trPr>
          <w:trHeight w:val="397"/>
          <w:jc w:val="center"/>
        </w:trPr>
        <w:tc>
          <w:tcPr>
            <w:tcW w:w="7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新增一个省部级实验教学示范中心、人才培养模式创新实验区、研究生创新中心、省部级公共服务平台等</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5</w:t>
            </w:r>
          </w:p>
        </w:tc>
      </w:tr>
      <w:tr w:rsidR="0068760B" w:rsidRPr="0068760B">
        <w:trPr>
          <w:trHeight w:val="397"/>
          <w:jc w:val="center"/>
        </w:trPr>
        <w:tc>
          <w:tcPr>
            <w:tcW w:w="7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新增一个一级学科博士点或专业学位博士点</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30</w:t>
            </w:r>
          </w:p>
        </w:tc>
      </w:tr>
      <w:tr w:rsidR="0068760B" w:rsidRPr="0068760B">
        <w:trPr>
          <w:trHeight w:val="397"/>
          <w:jc w:val="center"/>
        </w:trPr>
        <w:tc>
          <w:tcPr>
            <w:tcW w:w="7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新增一个一级学科博士后流动站、硕士点或专业学位硕士点、中外合作办学项目、海外孔子学院</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15</w:t>
            </w:r>
          </w:p>
        </w:tc>
      </w:tr>
    </w:tbl>
    <w:p w:rsidR="0068760B" w:rsidRPr="0068760B" w:rsidRDefault="0068760B" w:rsidP="0068760B">
      <w:pPr>
        <w:widowControl/>
        <w:ind w:left="560" w:hangingChars="200" w:hanging="560"/>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注：1.新增建设培育点按相应类别标准1/3奖励，验收成功补足至相   应类别标准。</w:t>
      </w:r>
    </w:p>
    <w:p w:rsidR="0068760B" w:rsidRPr="0068760B" w:rsidRDefault="0068760B" w:rsidP="0068760B">
      <w:pPr>
        <w:widowControl/>
        <w:ind w:leftChars="257" w:left="540"/>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2.关于教育部学位中心全国学科评估排名和ESI全球学科排名奖励办法另行制订。</w:t>
      </w:r>
    </w:p>
    <w:p w:rsidR="0068760B" w:rsidRPr="0068760B" w:rsidRDefault="0068760B" w:rsidP="0068760B">
      <w:pPr>
        <w:widowControl/>
        <w:spacing w:beforeLines="50" w:afterLines="50"/>
        <w:jc w:val="left"/>
        <w:rPr>
          <w:rFonts w:ascii="宋体" w:eastAsia="宋体" w:hAnsi="宋体" w:cs="宋体"/>
          <w:kern w:val="0"/>
          <w:sz w:val="24"/>
          <w:szCs w:val="24"/>
        </w:rPr>
      </w:pPr>
      <w:r w:rsidRPr="0068760B">
        <w:rPr>
          <w:rFonts w:ascii="仿宋_GB2312" w:eastAsia="仿宋_GB2312" w:hAnsi="宋体" w:cs="宋体" w:hint="eastAsia"/>
          <w:b/>
          <w:bCs/>
          <w:color w:val="000000"/>
          <w:kern w:val="0"/>
          <w:sz w:val="32"/>
          <w:szCs w:val="32"/>
        </w:rPr>
        <w:t>二、人才工作贡献奖励</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7"/>
        <w:gridCol w:w="1796"/>
      </w:tblGrid>
      <w:tr w:rsidR="0068760B" w:rsidRPr="0068760B">
        <w:trPr>
          <w:trHeight w:val="600"/>
          <w:tblHeader/>
          <w:jc w:val="center"/>
        </w:trPr>
        <w:tc>
          <w:tcPr>
            <w:tcW w:w="6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成    果    名    称</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标准（万元）</w:t>
            </w:r>
          </w:p>
        </w:tc>
      </w:tr>
      <w:tr w:rsidR="0068760B" w:rsidRPr="0068760B">
        <w:trPr>
          <w:trHeight w:val="397"/>
          <w:jc w:val="center"/>
        </w:trPr>
        <w:tc>
          <w:tcPr>
            <w:tcW w:w="6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新增一名第一类人才（院士级）</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30</w:t>
            </w:r>
          </w:p>
        </w:tc>
      </w:tr>
      <w:tr w:rsidR="0068760B" w:rsidRPr="0068760B">
        <w:trPr>
          <w:trHeight w:val="397"/>
          <w:jc w:val="center"/>
        </w:trPr>
        <w:tc>
          <w:tcPr>
            <w:tcW w:w="6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新增一名第二类人才（国家级）</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15</w:t>
            </w:r>
          </w:p>
        </w:tc>
      </w:tr>
      <w:tr w:rsidR="0068760B" w:rsidRPr="0068760B">
        <w:trPr>
          <w:trHeight w:val="397"/>
          <w:jc w:val="center"/>
        </w:trPr>
        <w:tc>
          <w:tcPr>
            <w:tcW w:w="6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lastRenderedPageBreak/>
              <w:t>新增一名第三类人才（省部级）</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8</w:t>
            </w:r>
          </w:p>
        </w:tc>
      </w:tr>
      <w:tr w:rsidR="0068760B" w:rsidRPr="0068760B">
        <w:trPr>
          <w:trHeight w:val="397"/>
          <w:jc w:val="center"/>
        </w:trPr>
        <w:tc>
          <w:tcPr>
            <w:tcW w:w="6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新增一个国家级团队</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30</w:t>
            </w:r>
          </w:p>
        </w:tc>
      </w:tr>
      <w:tr w:rsidR="0068760B" w:rsidRPr="0068760B">
        <w:trPr>
          <w:trHeight w:val="397"/>
          <w:jc w:val="center"/>
        </w:trPr>
        <w:tc>
          <w:tcPr>
            <w:tcW w:w="6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新增一个省部级团队</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8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15</w:t>
            </w:r>
          </w:p>
        </w:tc>
      </w:tr>
    </w:tbl>
    <w:p w:rsidR="0068760B" w:rsidRPr="0068760B" w:rsidRDefault="0068760B" w:rsidP="0068760B">
      <w:pPr>
        <w:widowControl/>
        <w:spacing w:line="500" w:lineRule="exact"/>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注：1.人才分类参照《南通大学人才引进实施办法（暂行）》。</w:t>
      </w:r>
    </w:p>
    <w:p w:rsidR="0068760B" w:rsidRPr="0068760B" w:rsidRDefault="0068760B" w:rsidP="0068760B">
      <w:pPr>
        <w:widowControl/>
        <w:spacing w:line="500" w:lineRule="exact"/>
        <w:ind w:leftChars="267" w:left="561"/>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2.对新增国家级人才个人的奖励，由学校绩效工资实施工作领导小组研究决定。</w:t>
      </w:r>
    </w:p>
    <w:p w:rsidR="0068760B" w:rsidRPr="0068760B" w:rsidRDefault="0068760B" w:rsidP="0068760B">
      <w:pPr>
        <w:widowControl/>
        <w:spacing w:beforeLines="50" w:afterLines="50"/>
        <w:jc w:val="left"/>
        <w:rPr>
          <w:rFonts w:ascii="宋体" w:eastAsia="宋体" w:hAnsi="宋体" w:cs="宋体"/>
          <w:kern w:val="0"/>
          <w:sz w:val="24"/>
          <w:szCs w:val="24"/>
        </w:rPr>
      </w:pPr>
      <w:r w:rsidRPr="0068760B">
        <w:rPr>
          <w:rFonts w:ascii="仿宋_GB2312" w:eastAsia="仿宋_GB2312" w:hAnsi="宋体" w:cs="宋体" w:hint="eastAsia"/>
          <w:b/>
          <w:bCs/>
          <w:color w:val="000000"/>
          <w:kern w:val="0"/>
          <w:sz w:val="32"/>
          <w:szCs w:val="32"/>
        </w:rPr>
        <w:t>三、教学、科研立项奖励</w:t>
      </w:r>
    </w:p>
    <w:tbl>
      <w:tblPr>
        <w:tblW w:w="8624" w:type="dxa"/>
        <w:jc w:val="center"/>
        <w:tblLook w:val="04A0"/>
      </w:tblPr>
      <w:tblGrid>
        <w:gridCol w:w="7230"/>
        <w:gridCol w:w="1394"/>
      </w:tblGrid>
      <w:tr w:rsidR="0068760B" w:rsidRPr="0068760B">
        <w:trPr>
          <w:trHeight w:val="380"/>
          <w:tblHeader/>
          <w:jc w:val="center"/>
        </w:trPr>
        <w:tc>
          <w:tcPr>
            <w:tcW w:w="7230" w:type="dxa"/>
            <w:tcBorders>
              <w:top w:val="single" w:sz="4" w:space="0" w:color="auto"/>
              <w:left w:val="single" w:sz="4" w:space="0" w:color="auto"/>
              <w:bottom w:val="nil"/>
              <w:right w:val="single" w:sz="4" w:space="0" w:color="000000"/>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成    果    名    称</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标准（万元）</w:t>
            </w:r>
          </w:p>
        </w:tc>
      </w:tr>
      <w:tr w:rsidR="0068760B" w:rsidRPr="0068760B">
        <w:trPr>
          <w:trHeight w:val="435"/>
          <w:jc w:val="center"/>
        </w:trPr>
        <w:tc>
          <w:tcPr>
            <w:tcW w:w="723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国家级重大项目</w:t>
            </w:r>
          </w:p>
        </w:tc>
        <w:tc>
          <w:tcPr>
            <w:tcW w:w="1394"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30</w:t>
            </w:r>
          </w:p>
        </w:tc>
      </w:tr>
      <w:tr w:rsidR="0068760B" w:rsidRPr="0068760B">
        <w:trPr>
          <w:trHeight w:val="435"/>
          <w:jc w:val="center"/>
        </w:trPr>
        <w:tc>
          <w:tcPr>
            <w:tcW w:w="723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国家级重点项目</w:t>
            </w:r>
          </w:p>
        </w:tc>
        <w:tc>
          <w:tcPr>
            <w:tcW w:w="1394" w:type="dxa"/>
            <w:tcBorders>
              <w:top w:val="nil"/>
              <w:left w:val="nil"/>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w:t>
            </w:r>
          </w:p>
        </w:tc>
      </w:tr>
      <w:tr w:rsidR="0068760B" w:rsidRPr="0068760B">
        <w:trPr>
          <w:trHeight w:val="435"/>
          <w:jc w:val="center"/>
        </w:trPr>
        <w:tc>
          <w:tcPr>
            <w:tcW w:w="723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自然科学单项到账总经费1500万元或一个自然年度内项目负责人累计到账总经费2400万元以上的横向项目；</w:t>
            </w:r>
          </w:p>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人文社科单项到账总经费600万元或一个自然年度内项目负责人累计到账总经费900万元以上的横向项目</w:t>
            </w:r>
          </w:p>
        </w:tc>
        <w:tc>
          <w:tcPr>
            <w:tcW w:w="1394" w:type="dxa"/>
            <w:tcBorders>
              <w:top w:val="nil"/>
              <w:left w:val="nil"/>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30</w:t>
            </w:r>
          </w:p>
        </w:tc>
      </w:tr>
      <w:tr w:rsidR="0068760B" w:rsidRPr="0068760B">
        <w:trPr>
          <w:trHeight w:val="435"/>
          <w:jc w:val="center"/>
        </w:trPr>
        <w:tc>
          <w:tcPr>
            <w:tcW w:w="723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自然科学单项到账总经费500万元或一个自然年度内项目负责人累计到账总经费800万元以上的横向项目；</w:t>
            </w:r>
          </w:p>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人文社科单项到账总经费200万元或一个自然年度内项目负责人累计到账总经费300万元以上的横向项目</w:t>
            </w:r>
          </w:p>
        </w:tc>
        <w:tc>
          <w:tcPr>
            <w:tcW w:w="1394" w:type="dxa"/>
            <w:tcBorders>
              <w:top w:val="nil"/>
              <w:left w:val="nil"/>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w:t>
            </w:r>
          </w:p>
        </w:tc>
      </w:tr>
    </w:tbl>
    <w:p w:rsidR="0068760B" w:rsidRPr="0068760B" w:rsidRDefault="0068760B" w:rsidP="0068760B">
      <w:pPr>
        <w:widowControl/>
        <w:spacing w:line="500" w:lineRule="exact"/>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注：横向科研项目到账总经费以总项目为单位进行核定和奖励。</w:t>
      </w:r>
    </w:p>
    <w:p w:rsidR="0068760B" w:rsidRPr="0068760B" w:rsidRDefault="0068760B" w:rsidP="0068760B">
      <w:pPr>
        <w:widowControl/>
        <w:spacing w:beforeLines="50" w:afterLines="50"/>
        <w:jc w:val="left"/>
        <w:rPr>
          <w:rFonts w:ascii="宋体" w:eastAsia="宋体" w:hAnsi="宋体" w:cs="宋体"/>
          <w:kern w:val="0"/>
          <w:sz w:val="24"/>
          <w:szCs w:val="24"/>
        </w:rPr>
      </w:pPr>
      <w:r w:rsidRPr="0068760B">
        <w:rPr>
          <w:rFonts w:ascii="仿宋_GB2312" w:eastAsia="仿宋_GB2312" w:hAnsi="宋体" w:cs="宋体" w:hint="eastAsia"/>
          <w:b/>
          <w:bCs/>
          <w:color w:val="000000"/>
          <w:kern w:val="0"/>
          <w:sz w:val="32"/>
          <w:szCs w:val="32"/>
        </w:rPr>
        <w:t>四、高水平论文、论著奖励</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7"/>
        <w:gridCol w:w="5954"/>
        <w:gridCol w:w="1381"/>
      </w:tblGrid>
      <w:tr w:rsidR="0068760B" w:rsidRPr="0068760B">
        <w:trPr>
          <w:trHeight w:val="567"/>
          <w:tblHeader/>
          <w:jc w:val="center"/>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类别</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成果名称</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标准（万元）</w:t>
            </w:r>
          </w:p>
        </w:tc>
      </w:tr>
      <w:tr w:rsidR="0068760B" w:rsidRPr="0068760B">
        <w:trPr>
          <w:trHeight w:val="425"/>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lastRenderedPageBreak/>
              <w:t>论文</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《Science》、《Nature》、《Cell》</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30</w:t>
            </w:r>
          </w:p>
        </w:tc>
      </w:tr>
      <w:tr w:rsidR="0068760B" w:rsidRPr="0068760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760B" w:rsidRPr="0068760B" w:rsidRDefault="0068760B" w:rsidP="0068760B">
            <w:pPr>
              <w:widowControl/>
              <w:jc w:val="left"/>
              <w:rPr>
                <w:rFonts w:ascii="宋体" w:eastAsia="宋体" w:hAnsi="宋体" w:cs="宋体"/>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《Science》、《Nature》、《Cell》子刊，且影响因子≥10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w:t>
            </w:r>
          </w:p>
        </w:tc>
      </w:tr>
      <w:tr w:rsidR="0068760B" w:rsidRPr="0068760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760B" w:rsidRPr="0068760B" w:rsidRDefault="0068760B" w:rsidP="0068760B">
            <w:pPr>
              <w:widowControl/>
              <w:jc w:val="left"/>
              <w:rPr>
                <w:rFonts w:ascii="宋体" w:eastAsia="宋体" w:hAnsi="宋体" w:cs="宋体"/>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人文社会科学特级期刊（中国社会科学）</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w:t>
            </w:r>
          </w:p>
        </w:tc>
      </w:tr>
      <w:tr w:rsidR="0068760B" w:rsidRPr="0068760B">
        <w:trPr>
          <w:trHeight w:val="425"/>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学术著作类</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入选《国家哲学社会科学成果文库》</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6</w:t>
            </w:r>
          </w:p>
        </w:tc>
      </w:tr>
      <w:tr w:rsidR="0068760B" w:rsidRPr="0068760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760B" w:rsidRPr="0068760B" w:rsidRDefault="0068760B" w:rsidP="0068760B">
            <w:pPr>
              <w:widowControl/>
              <w:jc w:val="left"/>
              <w:rPr>
                <w:rFonts w:ascii="宋体" w:eastAsia="宋体" w:hAnsi="宋体" w:cs="宋体"/>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其他优秀学术著作（评选办法另行制订）</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w:t>
            </w:r>
          </w:p>
        </w:tc>
      </w:tr>
    </w:tbl>
    <w:p w:rsidR="0068760B" w:rsidRPr="0068760B" w:rsidRDefault="0068760B" w:rsidP="0068760B">
      <w:pPr>
        <w:widowControl/>
        <w:jc w:val="left"/>
        <w:rPr>
          <w:rFonts w:ascii="宋体" w:eastAsia="宋体" w:hAnsi="宋体" w:cs="宋体"/>
          <w:kern w:val="0"/>
          <w:sz w:val="24"/>
          <w:szCs w:val="24"/>
        </w:rPr>
      </w:pPr>
      <w:r w:rsidRPr="0068760B">
        <w:rPr>
          <w:rFonts w:ascii="仿宋_GB2312" w:eastAsia="仿宋_GB2312" w:hAnsi="宋体" w:cs="宋体" w:hint="eastAsia"/>
          <w:bCs/>
          <w:color w:val="000000"/>
          <w:kern w:val="0"/>
          <w:sz w:val="28"/>
          <w:szCs w:val="28"/>
        </w:rPr>
        <w:t>注：其他高水平论文奖励暂按原标准执行。</w:t>
      </w:r>
    </w:p>
    <w:p w:rsidR="0068760B" w:rsidRPr="0068760B" w:rsidRDefault="0068760B" w:rsidP="0068760B">
      <w:pPr>
        <w:widowControl/>
        <w:spacing w:beforeLines="50" w:afterLines="50"/>
        <w:jc w:val="left"/>
        <w:rPr>
          <w:rFonts w:ascii="宋体" w:eastAsia="宋体" w:hAnsi="宋体" w:cs="宋体"/>
          <w:kern w:val="0"/>
          <w:sz w:val="24"/>
          <w:szCs w:val="24"/>
        </w:rPr>
      </w:pPr>
      <w:r w:rsidRPr="0068760B">
        <w:rPr>
          <w:rFonts w:ascii="仿宋_GB2312" w:eastAsia="仿宋_GB2312" w:hAnsi="宋体" w:cs="宋体" w:hint="eastAsia"/>
          <w:b/>
          <w:bCs/>
          <w:color w:val="000000"/>
          <w:kern w:val="0"/>
          <w:sz w:val="32"/>
          <w:szCs w:val="32"/>
        </w:rPr>
        <w:t>五、教学科研成果获奖奖励</w:t>
      </w:r>
    </w:p>
    <w:tbl>
      <w:tblPr>
        <w:tblW w:w="8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22"/>
        <w:gridCol w:w="1267"/>
      </w:tblGrid>
      <w:tr w:rsidR="0068760B" w:rsidRPr="0068760B">
        <w:trPr>
          <w:trHeight w:val="567"/>
          <w:tblHeader/>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成    果    名    称</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标准（万元）</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国家自然科学奖或科学技术进步奖或技术发明奖一等奖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100</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国家自然科学奖或科学技术进步奖或技术发明奖二等奖、国家级教学成果特等奖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50</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国家级教学成果一等奖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30</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w w:val="90"/>
                <w:kern w:val="0"/>
                <w:sz w:val="28"/>
                <w:szCs w:val="28"/>
              </w:rPr>
              <w:t>教育部高等学校科学研究优秀成果一等奖、国家级教学成果二等奖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15</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教育部高等学校科学研究优秀成果二等奖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教育部高等学校科学研究优秀成果三等奖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6</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省部级科学技术一等奖或哲学社会科学优秀成果一等奖或省部级教学成果特等奖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10</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省部级科学技术二等奖或哲学社会科学优秀成果二等奖或省部级教学成果一等奖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5</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省部级科学技术三等奖或哲学社会科学优秀成果三等奖或</w:t>
            </w:r>
            <w:r w:rsidRPr="0068760B">
              <w:rPr>
                <w:rFonts w:ascii="宋体" w:eastAsia="宋体" w:hAnsi="宋体" w:cs="宋体" w:hint="eastAsia"/>
                <w:color w:val="000000"/>
                <w:kern w:val="0"/>
                <w:sz w:val="28"/>
                <w:szCs w:val="28"/>
              </w:rPr>
              <w:lastRenderedPageBreak/>
              <w:t>省部级教学成果二等奖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lastRenderedPageBreak/>
              <w:t>2</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lastRenderedPageBreak/>
              <w:t>国家规划教材、国家精品资源共享课、国家级精品视频公开课、国家级双语教学示范课程等</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全国美术、书法、摄影、音舞作品、表演大赛获得金奖（文化部和全国专业协会联合举办）</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全国美术、书法、摄影、音舞作品、表演大赛获得银奖（文化部和全国专业协会联合举办）</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2</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全国美术、书法、摄影、音舞作品、表演大赛获得铜奖（文化部和全国专业协会联合举办）</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省优秀博士论文指导教师奖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2</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省优秀硕士论文指导教师奖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w w:val="90"/>
                <w:kern w:val="0"/>
                <w:sz w:val="28"/>
                <w:szCs w:val="28"/>
              </w:rPr>
              <w:t>省本科生优秀毕业论文（设计）一等奖指导教师奖（含优秀团队）</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指导学生（代表队）在ACM国际大学生程序设计竞赛、国际机器人大赛等国际重大比赛中获一等奖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指导学生（代表队）在ACM国际大学生程序设计竞赛、国际机器人大赛等国际重大比赛中获二等奖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2.5</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指导学生（代表队）在ACM国际大学生程序设计竞赛、国际机器人大赛等国际重大比赛中获三等奖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2</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w w:val="80"/>
                <w:kern w:val="0"/>
                <w:sz w:val="28"/>
                <w:szCs w:val="28"/>
              </w:rPr>
              <w:t>指导学生（代表队）在全国数学建模、大学生电子竞赛、“挑战杯”大学生课外学术科技作品竞赛、“创青春”大学生创业大赛等比赛中获特等奖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2</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w w:val="90"/>
                <w:kern w:val="0"/>
                <w:sz w:val="28"/>
                <w:szCs w:val="28"/>
              </w:rPr>
              <w:t>指导学生（代表队）在全国数学建模、大学生电子竞赛、“挑战杯”大学生课外学术科技作品竞赛、“创青春”大学生创业大赛等比赛中获一等奖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1.5</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指导学生（代表队）在全国数学建模、大学生电子竞赛、“挑</w:t>
            </w:r>
            <w:r w:rsidRPr="0068760B">
              <w:rPr>
                <w:rFonts w:ascii="宋体" w:eastAsia="宋体" w:hAnsi="宋体" w:cs="宋体" w:hint="eastAsia"/>
                <w:color w:val="000000"/>
                <w:kern w:val="0"/>
                <w:sz w:val="28"/>
                <w:szCs w:val="28"/>
              </w:rPr>
              <w:lastRenderedPageBreak/>
              <w:t>战杯”大学生课外学术科技作品竞赛、“创青春”大学生创业大赛等比赛中获二等奖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lastRenderedPageBreak/>
              <w:t>1</w:t>
            </w:r>
          </w:p>
        </w:tc>
      </w:tr>
      <w:tr w:rsidR="0068760B" w:rsidRPr="0068760B">
        <w:trPr>
          <w:trHeight w:val="454"/>
          <w:jc w:val="center"/>
        </w:trPr>
        <w:tc>
          <w:tcPr>
            <w:tcW w:w="7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lastRenderedPageBreak/>
              <w:t>指导学生（代表队）在全国数学建模、大学生电子竞赛、“挑战杯”大学生课外学术科技作品竞赛、“创青春”大学生创业大赛等比赛中获三等奖或省比赛中获一等奖</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60B" w:rsidRPr="0068760B" w:rsidRDefault="0068760B" w:rsidP="0068760B">
            <w:pPr>
              <w:widowControl/>
              <w:spacing w:line="52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0.5</w:t>
            </w:r>
          </w:p>
        </w:tc>
      </w:tr>
    </w:tbl>
    <w:p w:rsidR="0068760B" w:rsidRPr="0068760B" w:rsidRDefault="0068760B" w:rsidP="0068760B">
      <w:pPr>
        <w:widowControl/>
        <w:spacing w:line="540" w:lineRule="exact"/>
        <w:ind w:left="538" w:hangingChars="192" w:hanging="538"/>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注：1.若其他省（部）级教学成果奖不设特等奖，则其一、二、三等奖分别对应于江苏省教学成果奖的特、一、二等奖。</w:t>
      </w:r>
    </w:p>
    <w:p w:rsidR="0068760B" w:rsidRPr="0068760B" w:rsidRDefault="0068760B" w:rsidP="0068760B">
      <w:pPr>
        <w:widowControl/>
        <w:spacing w:line="540" w:lineRule="exact"/>
        <w:ind w:leftChars="257" w:left="540"/>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2.参赛项目必须是学校认定并组织参加的各类比赛。</w:t>
      </w:r>
    </w:p>
    <w:p w:rsidR="0068760B" w:rsidRPr="0068760B" w:rsidRDefault="0068760B" w:rsidP="0068760B">
      <w:pPr>
        <w:widowControl/>
        <w:spacing w:line="540" w:lineRule="exact"/>
        <w:ind w:leftChars="257" w:left="540"/>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3.竞赛分技能型和考试型两种形式。考试型竞赛以及按比例下达获奖指标的各类竞赛，每个等级按一个单项计算。</w:t>
      </w:r>
    </w:p>
    <w:p w:rsidR="0068760B" w:rsidRPr="0068760B" w:rsidRDefault="0068760B" w:rsidP="0068760B">
      <w:pPr>
        <w:widowControl/>
        <w:spacing w:line="540" w:lineRule="exact"/>
        <w:ind w:leftChars="257" w:left="540"/>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4.指导教师的确定原则上以参赛报名文件要求为依据，且赛前由学校认定。学生获奖后确定的指导教师不予认定。</w:t>
      </w:r>
    </w:p>
    <w:p w:rsidR="0068760B" w:rsidRPr="0068760B" w:rsidRDefault="0068760B" w:rsidP="0068760B">
      <w:pPr>
        <w:widowControl/>
        <w:spacing w:line="540" w:lineRule="exact"/>
        <w:ind w:leftChars="257" w:left="540"/>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5.不同竞赛项目，采用特等奖、金奖不同命名方式的，均指第一等级名次。同一竞赛项目（赛事），特等奖、金奖同时存在的，金奖只能认定为次一等级奖励，其他类推。</w:t>
      </w:r>
    </w:p>
    <w:p w:rsidR="0068760B" w:rsidRPr="0068760B" w:rsidRDefault="0068760B" w:rsidP="0068760B">
      <w:pPr>
        <w:widowControl/>
        <w:spacing w:line="540" w:lineRule="exact"/>
        <w:ind w:leftChars="257" w:left="540"/>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6.指导学生参加体育类比赛获省运会冠军或在全国、国际比赛中获奖，参照《南通大学高水平运动队建设管理办法》中关于教练员奖励的标准执行。</w:t>
      </w:r>
      <w:r w:rsidRPr="0068760B">
        <w:rPr>
          <w:rFonts w:ascii="宋体" w:eastAsia="宋体" w:hAnsi="宋体" w:cs="宋体"/>
          <w:kern w:val="0"/>
          <w:sz w:val="24"/>
          <w:szCs w:val="24"/>
        </w:rPr>
        <w:br w:type="page"/>
      </w:r>
      <w:r w:rsidRPr="0068760B">
        <w:rPr>
          <w:rFonts w:ascii="仿宋_GB2312" w:eastAsia="仿宋_GB2312" w:hAnsi="宋体" w:cs="宋体" w:hint="eastAsia"/>
          <w:b/>
          <w:bCs/>
          <w:color w:val="000000"/>
          <w:kern w:val="0"/>
          <w:sz w:val="32"/>
          <w:szCs w:val="32"/>
        </w:rPr>
        <w:lastRenderedPageBreak/>
        <w:t>六、社会服务成果奖励</w:t>
      </w:r>
    </w:p>
    <w:tbl>
      <w:tblPr>
        <w:tblW w:w="8664" w:type="dxa"/>
        <w:jc w:val="center"/>
        <w:tblLook w:val="04A0"/>
      </w:tblPr>
      <w:tblGrid>
        <w:gridCol w:w="1824"/>
        <w:gridCol w:w="5760"/>
        <w:gridCol w:w="1080"/>
      </w:tblGrid>
      <w:tr w:rsidR="0068760B" w:rsidRPr="0068760B">
        <w:trPr>
          <w:trHeight w:val="510"/>
          <w:tblHeader/>
          <w:jc w:val="center"/>
        </w:trPr>
        <w:tc>
          <w:tcPr>
            <w:tcW w:w="182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类别</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成果名称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标准</w:t>
            </w:r>
            <w:r w:rsidRPr="0068760B">
              <w:rPr>
                <w:rFonts w:ascii="宋体" w:eastAsia="宋体" w:hAnsi="宋体" w:cs="宋体" w:hint="eastAsia"/>
                <w:kern w:val="0"/>
                <w:sz w:val="28"/>
                <w:szCs w:val="28"/>
              </w:rPr>
              <w:br/>
            </w:r>
            <w:r w:rsidRPr="0068760B">
              <w:rPr>
                <w:rFonts w:ascii="宋体" w:eastAsia="宋体" w:hAnsi="宋体" w:cs="宋体" w:hint="eastAsia"/>
                <w:color w:val="000000"/>
                <w:kern w:val="0"/>
                <w:sz w:val="28"/>
                <w:szCs w:val="28"/>
              </w:rPr>
              <w:t>（万元）</w:t>
            </w:r>
          </w:p>
        </w:tc>
      </w:tr>
      <w:tr w:rsidR="0068760B" w:rsidRPr="0068760B">
        <w:trPr>
          <w:trHeight w:val="454"/>
          <w:jc w:val="center"/>
        </w:trPr>
        <w:tc>
          <w:tcPr>
            <w:tcW w:w="1824" w:type="dxa"/>
            <w:vMerge w:val="restart"/>
            <w:tcBorders>
              <w:top w:val="nil"/>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调研、决策咨询报告类</w:t>
            </w:r>
          </w:p>
        </w:tc>
        <w:tc>
          <w:tcPr>
            <w:tcW w:w="576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报告获国家领导人肯定性批示或被国家相关部门采用并产生重大影响的</w:t>
            </w:r>
          </w:p>
        </w:tc>
        <w:tc>
          <w:tcPr>
            <w:tcW w:w="108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4</w:t>
            </w:r>
          </w:p>
        </w:tc>
      </w:tr>
      <w:tr w:rsidR="0068760B" w:rsidRPr="0068760B">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68760B" w:rsidRPr="0068760B" w:rsidRDefault="0068760B" w:rsidP="0068760B">
            <w:pPr>
              <w:widowControl/>
              <w:jc w:val="left"/>
              <w:rPr>
                <w:rFonts w:ascii="宋体" w:eastAsia="宋体" w:hAnsi="宋体" w:cs="宋体"/>
                <w:kern w:val="0"/>
                <w:sz w:val="24"/>
                <w:szCs w:val="24"/>
              </w:rPr>
            </w:pPr>
          </w:p>
        </w:tc>
        <w:tc>
          <w:tcPr>
            <w:tcW w:w="576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报告获省部领导人肯定性批示或被省部相关部门采用并产生重大影响的</w:t>
            </w:r>
          </w:p>
        </w:tc>
        <w:tc>
          <w:tcPr>
            <w:tcW w:w="108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2</w:t>
            </w:r>
          </w:p>
        </w:tc>
      </w:tr>
      <w:tr w:rsidR="0068760B" w:rsidRPr="0068760B">
        <w:trPr>
          <w:trHeight w:val="454"/>
          <w:jc w:val="center"/>
        </w:trPr>
        <w:tc>
          <w:tcPr>
            <w:tcW w:w="1824" w:type="dxa"/>
            <w:vMerge w:val="restart"/>
            <w:tcBorders>
              <w:top w:val="nil"/>
              <w:left w:val="single" w:sz="4" w:space="0" w:color="auto"/>
              <w:bottom w:val="single" w:sz="4" w:space="0" w:color="000000"/>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发明专利类</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获得国外PCT授权专利</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w:t>
            </w:r>
          </w:p>
        </w:tc>
      </w:tr>
      <w:tr w:rsidR="0068760B" w:rsidRPr="0068760B">
        <w:trPr>
          <w:trHeight w:val="454"/>
          <w:jc w:val="center"/>
        </w:trPr>
        <w:tc>
          <w:tcPr>
            <w:tcW w:w="0" w:type="auto"/>
            <w:vMerge/>
            <w:tcBorders>
              <w:top w:val="nil"/>
              <w:left w:val="single" w:sz="4" w:space="0" w:color="auto"/>
              <w:bottom w:val="single" w:sz="4" w:space="0" w:color="000000"/>
              <w:right w:val="single" w:sz="4" w:space="0" w:color="auto"/>
            </w:tcBorders>
            <w:vAlign w:val="center"/>
            <w:hideMark/>
          </w:tcPr>
          <w:p w:rsidR="0068760B" w:rsidRPr="0068760B" w:rsidRDefault="0068760B" w:rsidP="0068760B">
            <w:pPr>
              <w:widowControl/>
              <w:jc w:val="left"/>
              <w:rPr>
                <w:rFonts w:ascii="宋体" w:eastAsia="宋体" w:hAnsi="宋体" w:cs="宋体"/>
                <w:kern w:val="0"/>
                <w:sz w:val="24"/>
                <w:szCs w:val="24"/>
              </w:rPr>
            </w:pPr>
          </w:p>
        </w:tc>
        <w:tc>
          <w:tcPr>
            <w:tcW w:w="576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获得国内授权发明专利</w:t>
            </w:r>
          </w:p>
        </w:tc>
        <w:tc>
          <w:tcPr>
            <w:tcW w:w="108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w:t>
            </w:r>
          </w:p>
        </w:tc>
      </w:tr>
      <w:tr w:rsidR="0068760B" w:rsidRPr="0068760B">
        <w:trPr>
          <w:trHeight w:val="454"/>
          <w:jc w:val="center"/>
        </w:trPr>
        <w:tc>
          <w:tcPr>
            <w:tcW w:w="1824" w:type="dxa"/>
            <w:vMerge w:val="restart"/>
            <w:tcBorders>
              <w:top w:val="nil"/>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行业标准制定</w:t>
            </w:r>
          </w:p>
        </w:tc>
        <w:tc>
          <w:tcPr>
            <w:tcW w:w="576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制定国际行业标准并颁布执行</w:t>
            </w:r>
          </w:p>
        </w:tc>
        <w:tc>
          <w:tcPr>
            <w:tcW w:w="108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3</w:t>
            </w:r>
          </w:p>
        </w:tc>
      </w:tr>
      <w:tr w:rsidR="0068760B" w:rsidRPr="0068760B">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68760B" w:rsidRPr="0068760B" w:rsidRDefault="0068760B" w:rsidP="0068760B">
            <w:pPr>
              <w:widowControl/>
              <w:jc w:val="left"/>
              <w:rPr>
                <w:rFonts w:ascii="宋体" w:eastAsia="宋体" w:hAnsi="宋体" w:cs="宋体"/>
                <w:kern w:val="0"/>
                <w:sz w:val="24"/>
                <w:szCs w:val="24"/>
              </w:rPr>
            </w:pPr>
          </w:p>
        </w:tc>
        <w:tc>
          <w:tcPr>
            <w:tcW w:w="576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制定国家标准并颁布执行</w:t>
            </w:r>
          </w:p>
        </w:tc>
        <w:tc>
          <w:tcPr>
            <w:tcW w:w="108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2</w:t>
            </w:r>
          </w:p>
        </w:tc>
      </w:tr>
      <w:tr w:rsidR="0068760B" w:rsidRPr="0068760B">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68760B" w:rsidRPr="0068760B" w:rsidRDefault="0068760B" w:rsidP="0068760B">
            <w:pPr>
              <w:widowControl/>
              <w:jc w:val="left"/>
              <w:rPr>
                <w:rFonts w:ascii="宋体" w:eastAsia="宋体" w:hAnsi="宋体" w:cs="宋体"/>
                <w:kern w:val="0"/>
                <w:sz w:val="24"/>
                <w:szCs w:val="24"/>
              </w:rPr>
            </w:pPr>
          </w:p>
        </w:tc>
        <w:tc>
          <w:tcPr>
            <w:tcW w:w="576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制定国内行业标准并颁布执行</w:t>
            </w:r>
          </w:p>
        </w:tc>
        <w:tc>
          <w:tcPr>
            <w:tcW w:w="108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w:t>
            </w:r>
          </w:p>
        </w:tc>
      </w:tr>
      <w:tr w:rsidR="0068760B" w:rsidRPr="0068760B">
        <w:trPr>
          <w:trHeight w:val="454"/>
          <w:jc w:val="center"/>
        </w:trPr>
        <w:tc>
          <w:tcPr>
            <w:tcW w:w="1824" w:type="dxa"/>
            <w:vMerge w:val="restart"/>
            <w:tcBorders>
              <w:top w:val="nil"/>
              <w:left w:val="single" w:sz="4" w:space="0" w:color="auto"/>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艺术作品类</w:t>
            </w:r>
          </w:p>
        </w:tc>
        <w:tc>
          <w:tcPr>
            <w:tcW w:w="576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作品被国家博物馆或美术馆收藏；在国家级场所（北京音乐厅、上海音乐厅）举办个人音乐会；作为导演编导的影视节目在中央电视台演播；在中国美术馆举办个人画展</w:t>
            </w:r>
          </w:p>
        </w:tc>
        <w:tc>
          <w:tcPr>
            <w:tcW w:w="108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1.5</w:t>
            </w:r>
          </w:p>
        </w:tc>
      </w:tr>
      <w:tr w:rsidR="0068760B" w:rsidRPr="0068760B">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68760B" w:rsidRPr="0068760B" w:rsidRDefault="0068760B" w:rsidP="0068760B">
            <w:pPr>
              <w:widowControl/>
              <w:jc w:val="left"/>
              <w:rPr>
                <w:rFonts w:ascii="宋体" w:eastAsia="宋体" w:hAnsi="宋体" w:cs="宋体"/>
                <w:kern w:val="0"/>
                <w:sz w:val="24"/>
                <w:szCs w:val="24"/>
              </w:rPr>
            </w:pPr>
          </w:p>
        </w:tc>
        <w:tc>
          <w:tcPr>
            <w:tcW w:w="576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left"/>
              <w:rPr>
                <w:rFonts w:ascii="宋体" w:eastAsia="宋体" w:hAnsi="宋体" w:cs="宋体"/>
                <w:kern w:val="0"/>
                <w:sz w:val="24"/>
                <w:szCs w:val="24"/>
              </w:rPr>
            </w:pPr>
            <w:r w:rsidRPr="0068760B">
              <w:rPr>
                <w:rFonts w:ascii="宋体" w:eastAsia="宋体" w:hAnsi="宋体" w:cs="宋体" w:hint="eastAsia"/>
                <w:color w:val="000000"/>
                <w:kern w:val="0"/>
                <w:sz w:val="28"/>
                <w:szCs w:val="28"/>
              </w:rPr>
              <w:t>作品入选全国美展；在国家级艺术舞台展演作品</w:t>
            </w:r>
          </w:p>
        </w:tc>
        <w:tc>
          <w:tcPr>
            <w:tcW w:w="1080" w:type="dxa"/>
            <w:tcBorders>
              <w:top w:val="nil"/>
              <w:left w:val="nil"/>
              <w:bottom w:val="single" w:sz="4" w:space="0" w:color="auto"/>
              <w:right w:val="single" w:sz="4" w:space="0" w:color="auto"/>
            </w:tcBorders>
            <w:shd w:val="clear" w:color="auto" w:fill="auto"/>
            <w:vAlign w:val="center"/>
            <w:hideMark/>
          </w:tcPr>
          <w:p w:rsidR="0068760B" w:rsidRPr="0068760B" w:rsidRDefault="0068760B" w:rsidP="0068760B">
            <w:pPr>
              <w:widowControl/>
              <w:spacing w:line="540" w:lineRule="exact"/>
              <w:jc w:val="center"/>
              <w:rPr>
                <w:rFonts w:ascii="宋体" w:eastAsia="宋体" w:hAnsi="宋体" w:cs="宋体"/>
                <w:kern w:val="0"/>
                <w:sz w:val="24"/>
                <w:szCs w:val="24"/>
              </w:rPr>
            </w:pPr>
            <w:r w:rsidRPr="0068760B">
              <w:rPr>
                <w:rFonts w:ascii="宋体" w:eastAsia="宋体" w:hAnsi="宋体" w:cs="宋体" w:hint="eastAsia"/>
                <w:color w:val="000000"/>
                <w:kern w:val="0"/>
                <w:sz w:val="28"/>
                <w:szCs w:val="28"/>
              </w:rPr>
              <w:t>0.8</w:t>
            </w:r>
          </w:p>
        </w:tc>
      </w:tr>
    </w:tbl>
    <w:p w:rsidR="0068760B" w:rsidRPr="0068760B" w:rsidRDefault="0068760B" w:rsidP="0068760B">
      <w:pPr>
        <w:widowControl/>
        <w:jc w:val="left"/>
        <w:rPr>
          <w:rFonts w:ascii="宋体" w:eastAsia="宋体" w:hAnsi="宋体" w:cs="宋体"/>
          <w:kern w:val="0"/>
          <w:sz w:val="24"/>
          <w:szCs w:val="24"/>
        </w:rPr>
      </w:pPr>
      <w:r w:rsidRPr="0068760B">
        <w:rPr>
          <w:rFonts w:ascii="仿宋_GB2312" w:eastAsia="仿宋_GB2312" w:hAnsi="宋体" w:cs="宋体" w:hint="eastAsia"/>
          <w:color w:val="000000"/>
          <w:kern w:val="0"/>
          <w:sz w:val="28"/>
          <w:szCs w:val="28"/>
        </w:rPr>
        <w:t>注：专利转化按南通大学科技成果转化相关规定予以奖励。</w:t>
      </w:r>
      <w:bookmarkEnd w:id="0"/>
    </w:p>
    <w:p w:rsidR="008A6357" w:rsidRPr="0068760B" w:rsidRDefault="008A6357"/>
    <w:sectPr w:rsidR="008A6357" w:rsidRPr="006876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357" w:rsidRDefault="008A6357" w:rsidP="0068760B">
      <w:r>
        <w:separator/>
      </w:r>
    </w:p>
  </w:endnote>
  <w:endnote w:type="continuationSeparator" w:id="1">
    <w:p w:rsidR="008A6357" w:rsidRDefault="008A6357" w:rsidP="006876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长城小标宋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357" w:rsidRDefault="008A6357" w:rsidP="0068760B">
      <w:r>
        <w:separator/>
      </w:r>
    </w:p>
  </w:footnote>
  <w:footnote w:type="continuationSeparator" w:id="1">
    <w:p w:rsidR="008A6357" w:rsidRDefault="008A6357" w:rsidP="006876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60B"/>
    <w:rsid w:val="0068760B"/>
    <w:rsid w:val="008A63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76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760B"/>
    <w:rPr>
      <w:sz w:val="18"/>
      <w:szCs w:val="18"/>
    </w:rPr>
  </w:style>
  <w:style w:type="paragraph" w:styleId="a4">
    <w:name w:val="footer"/>
    <w:basedOn w:val="a"/>
    <w:link w:val="Char0"/>
    <w:uiPriority w:val="99"/>
    <w:semiHidden/>
    <w:unhideWhenUsed/>
    <w:rsid w:val="006876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760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579</Words>
  <Characters>3302</Characters>
  <Application>Microsoft Office Word</Application>
  <DocSecurity>0</DocSecurity>
  <Lines>27</Lines>
  <Paragraphs>7</Paragraphs>
  <ScaleCrop>false</ScaleCrop>
  <Company>南通大学</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2015-12-09T00:29:00Z</dcterms:created>
  <dcterms:modified xsi:type="dcterms:W3CDTF">2015-12-09T00:29:00Z</dcterms:modified>
</cp:coreProperties>
</file>